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 w:cs="Times New Roman"/>
          <w:kern w:val="0"/>
          <w:szCs w:val="21"/>
        </w:rPr>
      </w:pPr>
    </w:p>
    <w:p>
      <w:pPr>
        <w:jc w:val="center"/>
        <w:rPr>
          <w:rFonts w:eastAsia="仿宋" w:cs="Times New Roman"/>
          <w:b/>
          <w:kern w:val="0"/>
          <w:sz w:val="28"/>
          <w:szCs w:val="21"/>
        </w:rPr>
      </w:pPr>
      <w:r>
        <w:rPr>
          <w:rFonts w:cs="Times New Roman"/>
          <w:b/>
          <w:kern w:val="0"/>
          <w:sz w:val="28"/>
          <w:szCs w:val="21"/>
        </w:rPr>
        <w:t>END USE AND END USER STATEMENT</w:t>
      </w:r>
    </w:p>
    <w:p>
      <w:pPr>
        <w:rPr>
          <w:rFonts w:eastAsia="仿宋" w:cs="Times New Roman"/>
          <w:sz w:val="24"/>
          <w:szCs w:val="24"/>
        </w:rPr>
      </w:pPr>
    </w:p>
    <w:p>
      <w:pPr>
        <w:autoSpaceDE w:val="0"/>
        <w:autoSpaceDN w:val="0"/>
        <w:adjustRightInd w:val="0"/>
        <w:rPr>
          <w:rFonts w:eastAsia="仿宋" w:cs="Times New Roman"/>
          <w:kern w:val="0"/>
          <w:sz w:val="24"/>
          <w:szCs w:val="24"/>
        </w:rPr>
      </w:pPr>
      <w:r>
        <w:rPr>
          <w:rFonts w:cs="Times New Roman"/>
          <w:kern w:val="0"/>
          <w:sz w:val="24"/>
          <w:szCs w:val="24"/>
        </w:rPr>
        <w:t>WHEREAS, Shanghai United Imaging Healthcare Co., Ltd. (“</w:t>
      </w:r>
      <w:r>
        <w:rPr>
          <w:rFonts w:cs="Times New Roman"/>
          <w:b/>
          <w:bCs/>
          <w:kern w:val="0"/>
          <w:sz w:val="24"/>
          <w:szCs w:val="24"/>
        </w:rPr>
        <w:t>UIH</w:t>
      </w:r>
      <w:r>
        <w:rPr>
          <w:rFonts w:cs="Times New Roman"/>
          <w:kern w:val="0"/>
          <w:sz w:val="24"/>
          <w:szCs w:val="24"/>
        </w:rPr>
        <w:t>”) has implemented an Internal Trade Compliance Program to comply with international export control laws and regulations, and this End Use and End User Statement (the “</w:t>
      </w:r>
      <w:r>
        <w:rPr>
          <w:rFonts w:cs="Times New Roman"/>
          <w:b/>
          <w:bCs/>
          <w:kern w:val="0"/>
          <w:sz w:val="24"/>
          <w:szCs w:val="24"/>
        </w:rPr>
        <w:t>Statement</w:t>
      </w:r>
      <w:r>
        <w:rPr>
          <w:rFonts w:cs="Times New Roman"/>
          <w:kern w:val="0"/>
          <w:sz w:val="24"/>
          <w:szCs w:val="24"/>
        </w:rPr>
        <w:t>”) is part of the due diligence document in the Program;</w:t>
      </w:r>
    </w:p>
    <w:p>
      <w:pPr>
        <w:autoSpaceDE w:val="0"/>
        <w:autoSpaceDN w:val="0"/>
        <w:adjustRightInd w:val="0"/>
        <w:rPr>
          <w:rFonts w:eastAsia="仿宋" w:cs="Times New Roman"/>
          <w:kern w:val="0"/>
          <w:sz w:val="24"/>
          <w:szCs w:val="24"/>
        </w:rPr>
      </w:pPr>
      <w:r>
        <w:rPr>
          <w:rFonts w:eastAsia="仿宋" w:cs="Times New Roman"/>
          <w:kern w:val="0"/>
          <w:sz w:val="24"/>
          <w:szCs w:val="24"/>
        </w:rPr>
        <w:br w:type="textWrapping"/>
      </w:r>
      <w:r>
        <w:rPr>
          <w:rFonts w:cs="Times New Roman"/>
          <w:kern w:val="0"/>
          <w:sz w:val="24"/>
          <w:szCs w:val="24"/>
        </w:rPr>
        <w:t xml:space="preserve">WHEREAS, UIH desires to </w:t>
      </w:r>
      <w:r>
        <w:rPr>
          <w:rFonts w:hint="eastAsia" w:cs="Times New Roman"/>
          <w:kern w:val="0"/>
          <w:sz w:val="24"/>
          <w:szCs w:val="24"/>
        </w:rPr>
        <w:t>eng</w:t>
      </w:r>
      <w:r>
        <w:rPr>
          <w:rFonts w:cs="Times New Roman"/>
          <w:kern w:val="0"/>
          <w:sz w:val="24"/>
          <w:szCs w:val="24"/>
        </w:rPr>
        <w:t xml:space="preserve">age </w:t>
      </w:r>
      <w:r>
        <w:rPr>
          <w:rFonts w:cs="Times New Roman"/>
          <w:i/>
          <w:iCs/>
          <w:kern w:val="0"/>
          <w:sz w:val="24"/>
          <w:szCs w:val="24"/>
          <w:highlight w:val="yellow"/>
          <w:u w:val="single"/>
        </w:rPr>
        <w:t>insert your company name</w:t>
      </w:r>
      <w:r>
        <w:rPr>
          <w:rFonts w:cs="Times New Roman"/>
          <w:kern w:val="0"/>
          <w:sz w:val="24"/>
          <w:szCs w:val="24"/>
        </w:rPr>
        <w:t xml:space="preserve"> (“</w:t>
      </w:r>
      <w:r>
        <w:rPr>
          <w:rFonts w:cs="Times New Roman"/>
          <w:b/>
          <w:kern w:val="0"/>
          <w:sz w:val="24"/>
          <w:szCs w:val="24"/>
        </w:rPr>
        <w:t xml:space="preserve">Our </w:t>
      </w:r>
      <w:r>
        <w:rPr>
          <w:rFonts w:cs="Times New Roman"/>
          <w:b/>
          <w:bCs/>
          <w:kern w:val="0"/>
          <w:sz w:val="24"/>
          <w:szCs w:val="24"/>
        </w:rPr>
        <w:t>Company</w:t>
      </w:r>
      <w:r>
        <w:rPr>
          <w:rFonts w:cs="Times New Roman"/>
          <w:kern w:val="0"/>
          <w:sz w:val="24"/>
          <w:szCs w:val="24"/>
        </w:rPr>
        <w:t>”) on the following project (the “</w:t>
      </w:r>
      <w:r>
        <w:rPr>
          <w:rFonts w:cs="Times New Roman"/>
          <w:b/>
          <w:kern w:val="0"/>
          <w:sz w:val="24"/>
          <w:szCs w:val="24"/>
        </w:rPr>
        <w:t>Project</w:t>
      </w:r>
      <w:r>
        <w:rPr>
          <w:rFonts w:cs="Times New Roman"/>
          <w:kern w:val="0"/>
          <w:sz w:val="24"/>
          <w:szCs w:val="24"/>
        </w:rPr>
        <w:t xml:space="preserve">”) on the premise of </w:t>
      </w:r>
      <w:r>
        <w:rPr>
          <w:rFonts w:hint="eastAsia" w:cs="Times New Roman"/>
          <w:kern w:val="0"/>
          <w:sz w:val="24"/>
          <w:szCs w:val="24"/>
        </w:rPr>
        <w:t>tr</w:t>
      </w:r>
      <w:r>
        <w:rPr>
          <w:rFonts w:cs="Times New Roman"/>
          <w:kern w:val="0"/>
          <w:sz w:val="24"/>
          <w:szCs w:val="24"/>
        </w:rPr>
        <w:t>ade compliance:</w:t>
      </w:r>
    </w:p>
    <w:p>
      <w:pPr>
        <w:autoSpaceDE w:val="0"/>
        <w:autoSpaceDN w:val="0"/>
        <w:adjustRightInd w:val="0"/>
        <w:rPr>
          <w:rFonts w:eastAsia="仿宋" w:cs="Times New Roman"/>
          <w:kern w:val="0"/>
          <w:sz w:val="24"/>
          <w:szCs w:val="24"/>
        </w:rPr>
      </w:pPr>
    </w:p>
    <w:p>
      <w:pPr>
        <w:autoSpaceDE w:val="0"/>
        <w:autoSpaceDN w:val="0"/>
        <w:adjustRightInd w:val="0"/>
        <w:ind w:left="420" w:leftChars="200"/>
        <w:rPr>
          <w:rFonts w:eastAsia="仿宋" w:cs="Times New Roman"/>
          <w:i/>
          <w:iCs/>
          <w:kern w:val="0"/>
          <w:sz w:val="24"/>
          <w:szCs w:val="24"/>
        </w:rPr>
      </w:pPr>
      <w:r>
        <w:rPr>
          <w:rFonts w:cs="Times New Roman"/>
          <w:kern w:val="0"/>
          <w:sz w:val="24"/>
          <w:szCs w:val="24"/>
        </w:rPr>
        <w:t xml:space="preserve">Project Purpose: </w:t>
      </w:r>
      <w:r>
        <w:rPr>
          <w:rFonts w:cs="Times New Roman"/>
          <w:kern w:val="0"/>
          <w:sz w:val="24"/>
          <w:szCs w:val="24"/>
          <w:highlight w:val="yellow"/>
        </w:rPr>
        <w:t>_________</w:t>
      </w:r>
      <w:r>
        <w:rPr>
          <w:rFonts w:cs="Times New Roman"/>
          <w:kern w:val="0"/>
          <w:sz w:val="24"/>
          <w:szCs w:val="24"/>
        </w:rPr>
        <w:t xml:space="preserve"> (e.g., distribution, warehousing, or donation)</w:t>
      </w:r>
    </w:p>
    <w:p>
      <w:pPr>
        <w:autoSpaceDE w:val="0"/>
        <w:autoSpaceDN w:val="0"/>
        <w:adjustRightInd w:val="0"/>
        <w:ind w:left="420" w:leftChars="200"/>
        <w:rPr>
          <w:rFonts w:eastAsia="仿宋" w:cs="Times New Roman"/>
          <w:kern w:val="0"/>
          <w:sz w:val="24"/>
          <w:szCs w:val="24"/>
        </w:rPr>
      </w:pPr>
      <w:r>
        <w:rPr>
          <w:rFonts w:cs="Times New Roman"/>
          <w:kern w:val="0"/>
          <w:sz w:val="24"/>
          <w:szCs w:val="24"/>
        </w:rPr>
        <w:t xml:space="preserve">End User Name (full name): </w:t>
      </w:r>
      <w:r>
        <w:rPr>
          <w:rFonts w:cs="Times New Roman"/>
          <w:kern w:val="0"/>
          <w:sz w:val="24"/>
          <w:szCs w:val="24"/>
          <w:highlight w:val="yellow"/>
        </w:rPr>
        <w:t>____________________</w:t>
      </w:r>
    </w:p>
    <w:p>
      <w:pPr>
        <w:autoSpaceDE w:val="0"/>
        <w:autoSpaceDN w:val="0"/>
        <w:adjustRightInd w:val="0"/>
        <w:ind w:left="420" w:leftChars="200"/>
        <w:rPr>
          <w:rFonts w:eastAsia="仿宋" w:cs="Times New Roman"/>
          <w:kern w:val="0"/>
          <w:sz w:val="24"/>
          <w:szCs w:val="24"/>
        </w:rPr>
      </w:pPr>
      <w:r>
        <w:rPr>
          <w:rFonts w:cs="Times New Roman"/>
          <w:kern w:val="0"/>
          <w:sz w:val="24"/>
          <w:szCs w:val="24"/>
        </w:rPr>
        <w:t xml:space="preserve">End User Address (specific address instead of P.O. Box): </w:t>
      </w:r>
      <w:r>
        <w:rPr>
          <w:rFonts w:cs="Times New Roman"/>
          <w:kern w:val="0"/>
          <w:sz w:val="24"/>
          <w:szCs w:val="24"/>
          <w:highlight w:val="yellow"/>
        </w:rPr>
        <w:t>____________________</w:t>
      </w:r>
    </w:p>
    <w:p>
      <w:pPr>
        <w:autoSpaceDE w:val="0"/>
        <w:autoSpaceDN w:val="0"/>
        <w:adjustRightInd w:val="0"/>
        <w:ind w:left="420" w:leftChars="200"/>
        <w:rPr>
          <w:rFonts w:eastAsia="仿宋" w:cs="Times New Roman"/>
          <w:kern w:val="0"/>
          <w:sz w:val="24"/>
          <w:szCs w:val="24"/>
        </w:rPr>
      </w:pPr>
    </w:p>
    <w:p>
      <w:pPr>
        <w:autoSpaceDE w:val="0"/>
        <w:autoSpaceDN w:val="0"/>
        <w:adjustRightInd w:val="0"/>
        <w:rPr>
          <w:rFonts w:eastAsia="仿宋" w:cs="Times New Roman"/>
          <w:kern w:val="0"/>
          <w:sz w:val="24"/>
          <w:szCs w:val="24"/>
        </w:rPr>
      </w:pPr>
      <w:r>
        <w:rPr>
          <w:rFonts w:cs="Times New Roman"/>
          <w:kern w:val="0"/>
          <w:sz w:val="24"/>
          <w:szCs w:val="24"/>
        </w:rPr>
        <w:t>NOW THEREFORE, in order to realize the compliance as set above, I, on behalf of Our Company, warrant and agree as follows:</w:t>
      </w:r>
    </w:p>
    <w:p>
      <w:pPr>
        <w:autoSpaceDE w:val="0"/>
        <w:autoSpaceDN w:val="0"/>
        <w:adjustRightInd w:val="0"/>
        <w:rPr>
          <w:rFonts w:eastAsia="仿宋" w:cs="Times New Roman"/>
          <w:kern w:val="0"/>
          <w:sz w:val="24"/>
          <w:szCs w:val="24"/>
        </w:rPr>
      </w:pPr>
    </w:p>
    <w:p>
      <w:pPr>
        <w:pStyle w:val="20"/>
        <w:jc w:val="both"/>
        <w:rPr>
          <w:rFonts w:eastAsia="仿宋"/>
          <w:sz w:val="24"/>
          <w:szCs w:val="24"/>
        </w:rPr>
      </w:pPr>
      <w:bookmarkStart w:id="0" w:name="a458321"/>
      <w:r>
        <w:rPr>
          <w:rStyle w:val="21"/>
        </w:rPr>
        <w:t>GENERAL REQUIREMENT</w:t>
      </w:r>
      <w:r>
        <w:t xml:space="preserve">. </w:t>
      </w:r>
      <w:bookmarkEnd w:id="0"/>
      <w:r>
        <w:rPr>
          <w:sz w:val="24"/>
          <w:szCs w:val="24"/>
        </w:rPr>
        <w:t>If Our Company intends to export, re-export, transfer or transmit (collectively, “</w:t>
      </w:r>
      <w:r>
        <w:rPr>
          <w:b/>
          <w:bCs/>
          <w:sz w:val="24"/>
          <w:szCs w:val="24"/>
        </w:rPr>
        <w:t>Export</w:t>
      </w:r>
      <w:r>
        <w:rPr>
          <w:sz w:val="24"/>
          <w:szCs w:val="24"/>
        </w:rPr>
        <w:t>”) the UIH products, software, or technical data, (collectively, “</w:t>
      </w:r>
      <w:r>
        <w:rPr>
          <w:b/>
          <w:bCs/>
          <w:sz w:val="24"/>
          <w:szCs w:val="24"/>
        </w:rPr>
        <w:t>Deliverables</w:t>
      </w:r>
      <w:r>
        <w:rPr>
          <w:sz w:val="24"/>
          <w:szCs w:val="24"/>
        </w:rPr>
        <w:t>”) involved in the Project to any other organizations or individuals, Our Company shall, in respect of such Export, strictly abide by (a) the laws and regulations of the People’s Republic of China, including but not limited to the PRC Export Control Law; (b) the laws and regulations of the United States, including but not limited to the U.S. Export Administration Regulations (EAR) and administrative requirements of issued by the U.S. Office of Foreign Assets Control (OFAC); and (c) where applicable, the laws and regulations of the European Union and the United Kingdom, including but not limited to REGULATION (EC) No. 428/2009 (as amended), the UK Export Control Act and the UK Export Control Order (collectively, “</w:t>
      </w:r>
      <w:r>
        <w:rPr>
          <w:b/>
          <w:sz w:val="24"/>
          <w:szCs w:val="24"/>
        </w:rPr>
        <w:t>Export Control Laws</w:t>
      </w:r>
      <w:r>
        <w:rPr>
          <w:sz w:val="24"/>
          <w:szCs w:val="24"/>
        </w:rPr>
        <w:t xml:space="preserve">”). </w:t>
      </w:r>
    </w:p>
    <w:p>
      <w:pPr>
        <w:pStyle w:val="20"/>
        <w:jc w:val="both"/>
        <w:rPr>
          <w:sz w:val="24"/>
          <w:szCs w:val="24"/>
        </w:rPr>
      </w:pPr>
      <w:r>
        <w:rPr>
          <w:rStyle w:val="21"/>
        </w:rPr>
        <w:t>SANCTIONS STATUS.</w:t>
      </w:r>
      <w:r>
        <w:rPr>
          <w:rStyle w:val="21"/>
          <w:u w:val="none"/>
        </w:rPr>
        <w:t xml:space="preserve"> To the best of our knowledge, neither O</w:t>
      </w:r>
      <w:r>
        <w:rPr>
          <w:rStyle w:val="21"/>
          <w:rFonts w:hint="eastAsia"/>
          <w:u w:val="none"/>
        </w:rPr>
        <w:t>ur</w:t>
      </w:r>
      <w:r>
        <w:rPr>
          <w:rStyle w:val="21"/>
          <w:u w:val="none"/>
        </w:rPr>
        <w:t xml:space="preserve"> Company and the intermediary, freight forward or end user in the Project (collectively, “</w:t>
      </w:r>
      <w:r>
        <w:rPr>
          <w:rStyle w:val="21"/>
          <w:b/>
          <w:u w:val="none"/>
        </w:rPr>
        <w:t>Related Parties</w:t>
      </w:r>
      <w:r>
        <w:rPr>
          <w:rStyle w:val="21"/>
          <w:u w:val="none"/>
        </w:rPr>
        <w:t xml:space="preserve">”) nor our/their employees is: (a) located, organized or resident in a country or territory that is the target of sanctions imposed by the Export Control Laws; (b) </w:t>
      </w:r>
      <w:r>
        <w:rPr>
          <w:sz w:val="24"/>
          <w:szCs w:val="24"/>
        </w:rPr>
        <w:t>included on the rejection, restriction or prohibition lists maintained by the enforcement agencies of the Export Control Laws (</w:t>
      </w:r>
      <w:r>
        <w:rPr>
          <w:rFonts w:hint="eastAsia"/>
          <w:sz w:val="24"/>
          <w:szCs w:val="24"/>
        </w:rPr>
        <w:t>the</w:t>
      </w:r>
      <w:r>
        <w:rPr>
          <w:sz w:val="24"/>
          <w:szCs w:val="24"/>
        </w:rPr>
        <w:t xml:space="preserve"> “</w:t>
      </w:r>
      <w:r>
        <w:rPr>
          <w:b/>
          <w:sz w:val="24"/>
          <w:szCs w:val="24"/>
        </w:rPr>
        <w:t>Restricted Parties</w:t>
      </w:r>
      <w:r>
        <w:rPr>
          <w:sz w:val="24"/>
          <w:szCs w:val="24"/>
        </w:rPr>
        <w:t xml:space="preserve">”); </w:t>
      </w:r>
      <w:r>
        <w:rPr>
          <w:rFonts w:hint="eastAsia"/>
          <w:sz w:val="24"/>
          <w:szCs w:val="24"/>
        </w:rPr>
        <w:t>(</w:t>
      </w:r>
      <w:r>
        <w:rPr>
          <w:sz w:val="24"/>
          <w:szCs w:val="24"/>
        </w:rPr>
        <w:t xml:space="preserve">c) </w:t>
      </w:r>
      <w:r>
        <w:rPr>
          <w:rStyle w:val="21"/>
          <w:u w:val="none"/>
        </w:rPr>
        <w:t>directly or indirectly owned or controlled by any of the Restricted Parties</w:t>
      </w:r>
      <w:r>
        <w:rPr>
          <w:sz w:val="24"/>
          <w:szCs w:val="24"/>
        </w:rPr>
        <w:t>. Without limitation to the foregoing, Our Company have implemented adequate organizational, systematic and technical safeguards to comply with the obligations in DISTRIBUTOR CODE OF ETHICS, and will ensure the Related P</w:t>
      </w:r>
      <w:bookmarkStart w:id="1" w:name="_GoBack"/>
      <w:bookmarkEnd w:id="1"/>
      <w:r>
        <w:rPr>
          <w:sz w:val="24"/>
          <w:szCs w:val="24"/>
        </w:rPr>
        <w:t>arties are obliged by equivalent contractual clauses as those in the DISTRIBUTOR CODE OF ETHICS.</w:t>
      </w:r>
    </w:p>
    <w:p>
      <w:pPr>
        <w:pStyle w:val="20"/>
        <w:jc w:val="both"/>
      </w:pPr>
      <w:r>
        <w:rPr>
          <w:rStyle w:val="21"/>
        </w:rPr>
        <w:t>MILITARY END USE AND END USER</w:t>
      </w:r>
      <w:r>
        <w:t>.</w:t>
      </w:r>
      <w:r>
        <w:rPr>
          <w:sz w:val="24"/>
          <w:szCs w:val="24"/>
        </w:rPr>
        <w:t xml:space="preserve"> Neither</w:t>
      </w:r>
      <w:r>
        <w:t xml:space="preserve"> </w:t>
      </w:r>
      <w:r>
        <w:rPr>
          <w:sz w:val="24"/>
          <w:szCs w:val="24"/>
        </w:rPr>
        <w:t xml:space="preserve">Our Company nor the Related Parties are </w:t>
      </w:r>
      <w:r>
        <w:rPr>
          <w:rFonts w:hint="eastAsia"/>
          <w:sz w:val="24"/>
          <w:szCs w:val="24"/>
          <w:lang w:val="en-US" w:eastAsia="zh-CN"/>
        </w:rPr>
        <w:t>M</w:t>
      </w:r>
      <w:r>
        <w:rPr>
          <w:sz w:val="24"/>
          <w:szCs w:val="24"/>
        </w:rPr>
        <w:t xml:space="preserve">ilitary </w:t>
      </w:r>
      <w:r>
        <w:rPr>
          <w:rFonts w:hint="eastAsia"/>
          <w:sz w:val="24"/>
          <w:szCs w:val="24"/>
          <w:lang w:val="en-US" w:eastAsia="zh-CN"/>
        </w:rPr>
        <w:t>E</w:t>
      </w:r>
      <w:r>
        <w:rPr>
          <w:sz w:val="24"/>
          <w:szCs w:val="24"/>
        </w:rPr>
        <w:t xml:space="preserve">nd </w:t>
      </w:r>
      <w:r>
        <w:rPr>
          <w:rFonts w:hint="eastAsia"/>
          <w:sz w:val="24"/>
          <w:szCs w:val="24"/>
          <w:lang w:val="en-US" w:eastAsia="zh-CN"/>
        </w:rPr>
        <w:t>U</w:t>
      </w:r>
      <w:r>
        <w:rPr>
          <w:sz w:val="24"/>
          <w:szCs w:val="24"/>
        </w:rPr>
        <w:t xml:space="preserve">sers as follows, </w:t>
      </w:r>
      <w:r>
        <w:rPr>
          <w:rFonts w:hint="eastAsia"/>
          <w:sz w:val="24"/>
          <w:szCs w:val="24"/>
        </w:rPr>
        <w:t>and</w:t>
      </w:r>
      <w:r>
        <w:rPr>
          <w:sz w:val="24"/>
          <w:szCs w:val="24"/>
        </w:rPr>
        <w:t xml:space="preserve"> will not knowingly use the Deliverables for the </w:t>
      </w:r>
      <w:r>
        <w:rPr>
          <w:rFonts w:hint="eastAsia"/>
          <w:sz w:val="24"/>
          <w:szCs w:val="24"/>
          <w:lang w:val="en-US" w:eastAsia="zh-CN"/>
        </w:rPr>
        <w:t>M</w:t>
      </w:r>
      <w:r>
        <w:rPr>
          <w:sz w:val="24"/>
          <w:szCs w:val="24"/>
        </w:rPr>
        <w:t xml:space="preserve">ilitary </w:t>
      </w:r>
      <w:r>
        <w:rPr>
          <w:rFonts w:hint="eastAsia"/>
          <w:sz w:val="24"/>
          <w:szCs w:val="24"/>
          <w:lang w:val="en-US" w:eastAsia="zh-CN"/>
        </w:rPr>
        <w:t>E</w:t>
      </w:r>
      <w:r>
        <w:rPr>
          <w:sz w:val="24"/>
          <w:szCs w:val="24"/>
        </w:rPr>
        <w:t xml:space="preserve">nd </w:t>
      </w:r>
      <w:r>
        <w:rPr>
          <w:rFonts w:hint="eastAsia"/>
          <w:sz w:val="24"/>
          <w:szCs w:val="24"/>
          <w:lang w:val="en-US" w:eastAsia="zh-CN"/>
        </w:rPr>
        <w:t>U</w:t>
      </w:r>
      <w:r>
        <w:rPr>
          <w:sz w:val="24"/>
          <w:szCs w:val="24"/>
        </w:rPr>
        <w:t>ses as follows:</w:t>
      </w:r>
    </w:p>
    <w:p>
      <w:pPr>
        <w:pStyle w:val="22"/>
        <w:jc w:val="both"/>
      </w:pPr>
      <w:r>
        <w:rPr>
          <w:rStyle w:val="12"/>
          <w:sz w:val="24"/>
          <w:szCs w:val="24"/>
        </w:rPr>
        <w:t xml:space="preserve">Military </w:t>
      </w:r>
      <w:r>
        <w:rPr>
          <w:rStyle w:val="12"/>
          <w:rFonts w:hint="eastAsia"/>
          <w:sz w:val="24"/>
          <w:szCs w:val="24"/>
          <w:lang w:val="en-US" w:eastAsia="zh-CN"/>
        </w:rPr>
        <w:t>E</w:t>
      </w:r>
      <w:r>
        <w:rPr>
          <w:rStyle w:val="12"/>
          <w:sz w:val="24"/>
          <w:szCs w:val="24"/>
        </w:rPr>
        <w:t xml:space="preserve">nd </w:t>
      </w:r>
      <w:r>
        <w:rPr>
          <w:rStyle w:val="12"/>
          <w:rFonts w:hint="eastAsia"/>
          <w:sz w:val="24"/>
          <w:szCs w:val="24"/>
          <w:lang w:val="en-US" w:eastAsia="zh-CN"/>
        </w:rPr>
        <w:t>U</w:t>
      </w:r>
      <w:r>
        <w:rPr>
          <w:rStyle w:val="12"/>
          <w:sz w:val="24"/>
          <w:szCs w:val="24"/>
        </w:rPr>
        <w:t>sers include, but are not limited to, army, navy, air force, marines, coast guard, national guard/police or government intelligence and reconnaissance agencies (collectively, “</w:t>
      </w:r>
      <w:r>
        <w:rPr>
          <w:rStyle w:val="12"/>
          <w:b/>
          <w:bCs/>
          <w:sz w:val="24"/>
          <w:szCs w:val="24"/>
        </w:rPr>
        <w:t>National Military Organizations</w:t>
      </w:r>
      <w:r>
        <w:rPr>
          <w:rStyle w:val="12"/>
          <w:sz w:val="24"/>
          <w:szCs w:val="24"/>
        </w:rPr>
        <w:t xml:space="preserve">”), or other organizations or individuals whose activities are designed to support </w:t>
      </w:r>
      <w:r>
        <w:rPr>
          <w:rStyle w:val="12"/>
          <w:rFonts w:hint="eastAsia"/>
          <w:sz w:val="24"/>
          <w:szCs w:val="24"/>
          <w:lang w:val="en-US" w:eastAsia="zh-CN"/>
        </w:rPr>
        <w:t>M</w:t>
      </w:r>
      <w:r>
        <w:rPr>
          <w:rStyle w:val="12"/>
          <w:sz w:val="24"/>
          <w:szCs w:val="24"/>
        </w:rPr>
        <w:t xml:space="preserve">ilitary </w:t>
      </w:r>
      <w:r>
        <w:rPr>
          <w:rStyle w:val="12"/>
          <w:rFonts w:hint="eastAsia"/>
          <w:sz w:val="24"/>
          <w:szCs w:val="24"/>
          <w:lang w:val="en-US" w:eastAsia="zh-CN"/>
        </w:rPr>
        <w:t>E</w:t>
      </w:r>
      <w:r>
        <w:rPr>
          <w:rStyle w:val="12"/>
          <w:sz w:val="24"/>
          <w:szCs w:val="24"/>
        </w:rPr>
        <w:t xml:space="preserve">nd </w:t>
      </w:r>
      <w:r>
        <w:rPr>
          <w:rStyle w:val="12"/>
          <w:rFonts w:hint="eastAsia"/>
          <w:sz w:val="24"/>
          <w:szCs w:val="24"/>
          <w:lang w:val="en-US" w:eastAsia="zh-CN"/>
        </w:rPr>
        <w:t>U</w:t>
      </w:r>
      <w:r>
        <w:rPr>
          <w:rStyle w:val="12"/>
          <w:sz w:val="24"/>
          <w:szCs w:val="24"/>
        </w:rPr>
        <w:t>ses. Any organizations listed in 15 CFR Supplement No. 7 to Part 744 is considered as a military end user by default;</w:t>
      </w:r>
    </w:p>
    <w:p>
      <w:pPr>
        <w:pStyle w:val="22"/>
        <w:jc w:val="both"/>
      </w:pPr>
      <w:r>
        <w:t xml:space="preserve">Military </w:t>
      </w:r>
      <w:r>
        <w:rPr>
          <w:rFonts w:hint="eastAsia"/>
          <w:lang w:val="en-US" w:eastAsia="zh-CN"/>
        </w:rPr>
        <w:t>E</w:t>
      </w:r>
      <w:r>
        <w:t xml:space="preserve">nd </w:t>
      </w:r>
      <w:r>
        <w:rPr>
          <w:rFonts w:hint="eastAsia"/>
          <w:lang w:val="en-US" w:eastAsia="zh-CN"/>
        </w:rPr>
        <w:t>U</w:t>
      </w:r>
      <w:r>
        <w:t>ses include projects that support or facilitate the operation, installation, maintenance, repair, overhaul, refurbishment, “development” or “production” of military items;</w:t>
      </w:r>
    </w:p>
    <w:p>
      <w:pPr>
        <w:pStyle w:val="22"/>
        <w:jc w:val="both"/>
      </w:pPr>
      <w:r>
        <w:rPr>
          <w:rStyle w:val="12"/>
          <w:sz w:val="24"/>
          <w:szCs w:val="24"/>
        </w:rPr>
        <w:t xml:space="preserve">If any of the </w:t>
      </w:r>
      <w:r>
        <w:t xml:space="preserve">Related </w:t>
      </w:r>
      <w:r>
        <w:rPr>
          <w:rStyle w:val="12"/>
          <w:sz w:val="24"/>
          <w:szCs w:val="24"/>
        </w:rPr>
        <w:t xml:space="preserve">Parties is a field hospital, the field hospital shall be considered as a </w:t>
      </w:r>
      <w:r>
        <w:rPr>
          <w:rStyle w:val="12"/>
          <w:rFonts w:hint="eastAsia"/>
          <w:sz w:val="24"/>
          <w:szCs w:val="24"/>
          <w:lang w:val="en-US" w:eastAsia="zh-CN"/>
        </w:rPr>
        <w:t>M</w:t>
      </w:r>
      <w:r>
        <w:rPr>
          <w:rStyle w:val="12"/>
          <w:sz w:val="24"/>
          <w:szCs w:val="24"/>
        </w:rPr>
        <w:t xml:space="preserve">ilitary </w:t>
      </w:r>
      <w:r>
        <w:rPr>
          <w:rStyle w:val="12"/>
          <w:rFonts w:hint="eastAsia"/>
          <w:sz w:val="24"/>
          <w:szCs w:val="24"/>
          <w:lang w:val="en-US" w:eastAsia="zh-CN"/>
        </w:rPr>
        <w:t>E</w:t>
      </w:r>
      <w:r>
        <w:rPr>
          <w:rStyle w:val="12"/>
          <w:sz w:val="24"/>
          <w:szCs w:val="24"/>
        </w:rPr>
        <w:t xml:space="preserve">nd </w:t>
      </w:r>
      <w:r>
        <w:rPr>
          <w:rStyle w:val="12"/>
          <w:rFonts w:hint="eastAsia"/>
          <w:sz w:val="24"/>
          <w:szCs w:val="24"/>
          <w:lang w:val="en-US" w:eastAsia="zh-CN"/>
        </w:rPr>
        <w:t>U</w:t>
      </w:r>
      <w:r>
        <w:rPr>
          <w:rStyle w:val="12"/>
          <w:sz w:val="24"/>
          <w:szCs w:val="24"/>
        </w:rPr>
        <w:t xml:space="preserve">ser if it meets ALL of the following conditions: (i) it is controlled or owned by a National Military Organization; (ii) </w:t>
      </w:r>
      <w:r>
        <w:rPr>
          <w:rStyle w:val="12"/>
          <w:color w:val="auto"/>
          <w:sz w:val="24"/>
          <w:szCs w:val="24"/>
        </w:rPr>
        <w:t>the patient population</w:t>
      </w:r>
      <w:r>
        <w:rPr>
          <w:rStyle w:val="12"/>
          <w:sz w:val="24"/>
          <w:szCs w:val="24"/>
        </w:rPr>
        <w:t xml:space="preserve"> it serves is exclusively or predominantly those of National Military Organizations rather than the general public; and (iii) the</w:t>
      </w:r>
      <w:r>
        <w:rPr>
          <w:rStyle w:val="12"/>
          <w:rFonts w:hint="eastAsia"/>
          <w:sz w:val="24"/>
          <w:szCs w:val="24"/>
          <w:lang w:val="en-US" w:eastAsia="zh-CN"/>
        </w:rPr>
        <w:t xml:space="preserve"> purpose of the </w:t>
      </w:r>
      <w:r>
        <w:rPr>
          <w:rStyle w:val="12"/>
          <w:sz w:val="24"/>
          <w:szCs w:val="24"/>
        </w:rPr>
        <w:t xml:space="preserve">Project </w:t>
      </w:r>
      <w:r>
        <w:rPr>
          <w:rStyle w:val="12"/>
          <w:rFonts w:hint="eastAsia"/>
          <w:sz w:val="24"/>
          <w:szCs w:val="24"/>
          <w:lang w:val="en-US" w:eastAsia="zh-CN"/>
        </w:rPr>
        <w:t>is to provide</w:t>
      </w:r>
      <w:r>
        <w:rPr>
          <w:rStyle w:val="12"/>
          <w:sz w:val="24"/>
          <w:szCs w:val="24"/>
        </w:rPr>
        <w:t xml:space="preserve"> military </w:t>
      </w:r>
      <w:r>
        <w:rPr>
          <w:rStyle w:val="12"/>
          <w:rFonts w:hint="eastAsia"/>
          <w:sz w:val="24"/>
          <w:szCs w:val="24"/>
          <w:lang w:val="en-US" w:eastAsia="zh-CN"/>
        </w:rPr>
        <w:t>item</w:t>
      </w:r>
      <w:r>
        <w:rPr>
          <w:rStyle w:val="12"/>
          <w:sz w:val="24"/>
          <w:szCs w:val="24"/>
        </w:rPr>
        <w:t xml:space="preserve">s to National Military Organizations; </w:t>
      </w:r>
    </w:p>
    <w:p>
      <w:pPr>
        <w:pStyle w:val="22"/>
        <w:jc w:val="both"/>
        <w:rPr>
          <w:rStyle w:val="12"/>
          <w:rFonts w:eastAsia="仿宋"/>
          <w:sz w:val="24"/>
          <w:szCs w:val="24"/>
        </w:rPr>
      </w:pPr>
      <w:r>
        <w:rPr>
          <w:rStyle w:val="12"/>
          <w:sz w:val="24"/>
          <w:szCs w:val="24"/>
        </w:rPr>
        <w:t xml:space="preserve">If the Project fits none of the foregoing but is funded or sponsored by an National Military Organization, Our Company shall timely disclose such information via the UIH compliance mailbox (compliance@united-imaging.com) </w:t>
      </w:r>
      <w:r>
        <w:rPr>
          <w:rStyle w:val="12"/>
          <w:rFonts w:hint="eastAsia"/>
          <w:sz w:val="24"/>
          <w:szCs w:val="24"/>
          <w:lang w:val="en-US" w:eastAsia="zh-CN"/>
        </w:rPr>
        <w:t>to seek</w:t>
      </w:r>
      <w:r>
        <w:rPr>
          <w:rStyle w:val="12"/>
          <w:sz w:val="24"/>
          <w:szCs w:val="24"/>
        </w:rPr>
        <w:t xml:space="preserve"> further notice.</w:t>
      </w:r>
    </w:p>
    <w:p>
      <w:pPr>
        <w:pStyle w:val="20"/>
        <w:jc w:val="both"/>
        <w:rPr>
          <w:sz w:val="24"/>
          <w:szCs w:val="24"/>
        </w:rPr>
      </w:pPr>
      <w:r>
        <w:rPr>
          <w:rStyle w:val="12"/>
          <w:rFonts w:hint="eastAsia" w:eastAsia="仿宋"/>
          <w:sz w:val="24"/>
          <w:szCs w:val="24"/>
          <w:u w:val="single"/>
        </w:rPr>
        <w:t>P</w:t>
      </w:r>
      <w:r>
        <w:rPr>
          <w:rStyle w:val="12"/>
          <w:rFonts w:eastAsia="仿宋"/>
          <w:sz w:val="24"/>
          <w:szCs w:val="24"/>
          <w:u w:val="single"/>
        </w:rPr>
        <w:t>ROHIBITED END USE.</w:t>
      </w:r>
      <w:r>
        <w:rPr>
          <w:rStyle w:val="12"/>
          <w:rFonts w:eastAsia="仿宋"/>
          <w:sz w:val="24"/>
          <w:szCs w:val="24"/>
        </w:rPr>
        <w:t xml:space="preserve"> </w:t>
      </w:r>
      <w:r>
        <w:rPr>
          <w:sz w:val="24"/>
          <w:szCs w:val="24"/>
        </w:rPr>
        <w:t>Our Company and the Related Parties shall not and will not knowingly, in part or in whole, participate in or assist any projects related to nuclear power generation, chemical, biological or nuclear weapons and other trade sanctions, embargoes or restrictions of the Export Control Laws (collectively, “</w:t>
      </w:r>
      <w:r>
        <w:rPr>
          <w:b/>
          <w:bCs/>
          <w:sz w:val="24"/>
          <w:szCs w:val="24"/>
        </w:rPr>
        <w:t>Prohibited End Use</w:t>
      </w:r>
      <w:r>
        <w:rPr>
          <w:sz w:val="24"/>
          <w:szCs w:val="24"/>
        </w:rPr>
        <w:t>”), nor will they participate in any design, development or manufacturing of products, components, software or technology for the direct or indirect use of such Prohibited End Use.</w:t>
      </w:r>
    </w:p>
    <w:p>
      <w:pPr>
        <w:pStyle w:val="20"/>
        <w:jc w:val="both"/>
        <w:rPr>
          <w:sz w:val="24"/>
          <w:szCs w:val="24"/>
        </w:rPr>
      </w:pPr>
      <w:r>
        <w:rPr>
          <w:rFonts w:eastAsia="仿宋"/>
          <w:sz w:val="24"/>
          <w:szCs w:val="24"/>
          <w:u w:val="single"/>
        </w:rPr>
        <w:t xml:space="preserve">REASONABLE DIVERSION. </w:t>
      </w:r>
      <w:r>
        <w:rPr>
          <w:sz w:val="24"/>
          <w:szCs w:val="24"/>
        </w:rPr>
        <w:t>If the transportation route is arranged by Our Company, the transit area or city through which the products are Exported is a reasonable under the particular circumstances, and there is no disguised Export to embargoed countries or territories by way of cities and ports.</w:t>
      </w:r>
    </w:p>
    <w:p>
      <w:pPr>
        <w:pStyle w:val="20"/>
        <w:jc w:val="both"/>
        <w:rPr>
          <w:sz w:val="24"/>
          <w:szCs w:val="24"/>
        </w:rPr>
      </w:pPr>
      <w:r>
        <w:rPr>
          <w:rFonts w:eastAsia="仿宋"/>
          <w:sz w:val="24"/>
          <w:szCs w:val="24"/>
          <w:u w:val="single"/>
        </w:rPr>
        <w:t>ONGOING NOTIFICATION.</w:t>
      </w:r>
      <w:r>
        <w:rPr>
          <w:sz w:val="24"/>
          <w:szCs w:val="24"/>
        </w:rPr>
        <w:t xml:space="preserve"> If there is any change to the foregoing information, Our Company shall immediately notify UIH in writing. UIH reserves the right to request an updated statement at any time, and to confirm if the Project meet the compliance requirements as set forth above. UIH MAY DECIDE, AT ITS SOLE DISCRETION, TO CARRY ON, SUSPEND OR ALTER THE PROJECT UNDER THE CONDITION OF COMPLIANCE WITH THE EXPORT CONTROL LAWS.</w:t>
      </w:r>
    </w:p>
    <w:p>
      <w:pPr>
        <w:autoSpaceDE w:val="0"/>
        <w:autoSpaceDN w:val="0"/>
        <w:adjustRightInd w:val="0"/>
        <w:ind w:left="420" w:leftChars="200"/>
        <w:rPr>
          <w:rFonts w:eastAsia="仿宋" w:cs="Times New Roman"/>
          <w:kern w:val="0"/>
          <w:sz w:val="24"/>
          <w:szCs w:val="24"/>
        </w:rPr>
      </w:pPr>
    </w:p>
    <w:p>
      <w:pPr>
        <w:autoSpaceDE w:val="0"/>
        <w:autoSpaceDN w:val="0"/>
        <w:adjustRightInd w:val="0"/>
        <w:rPr>
          <w:rFonts w:eastAsia="仿宋" w:cs="Times New Roman"/>
          <w:kern w:val="0"/>
          <w:sz w:val="24"/>
          <w:szCs w:val="24"/>
        </w:rPr>
      </w:pPr>
      <w:r>
        <w:rPr>
          <w:rFonts w:cs="Times New Roman"/>
          <w:b/>
          <w:bCs/>
          <w:kern w:val="0"/>
          <w:sz w:val="24"/>
          <w:szCs w:val="24"/>
        </w:rPr>
        <w:t>FOR ANY UNTRUE</w:t>
      </w:r>
      <w:r>
        <w:rPr>
          <w:rFonts w:cs="Times New Roman"/>
          <w:b/>
          <w:bCs/>
          <w:color w:val="FF0000"/>
          <w:kern w:val="0"/>
          <w:sz w:val="24"/>
          <w:szCs w:val="24"/>
        </w:rPr>
        <w:t xml:space="preserve"> </w:t>
      </w:r>
      <w:r>
        <w:rPr>
          <w:rFonts w:cs="Times New Roman"/>
          <w:b/>
          <w:bCs/>
          <w:kern w:val="0"/>
          <w:sz w:val="24"/>
          <w:szCs w:val="24"/>
        </w:rPr>
        <w:t>OR INCOMPLETE INFORMATION PROVIDED HEREIN OR OUR COMPANY’S VIOLATION TO THE STATEMENT, WE SHALL INDEMINIFY AND HOLD HARMLESS UIH AGAINST ANY AND ALL LOSSES, CLAIMS, ACTIONS AND COSTS OF ANY ARISING THEREOF.</w:t>
      </w:r>
    </w:p>
    <w:p>
      <w:pPr>
        <w:autoSpaceDE w:val="0"/>
        <w:autoSpaceDN w:val="0"/>
        <w:adjustRightInd w:val="0"/>
        <w:rPr>
          <w:rFonts w:eastAsia="仿宋" w:cs="Times New Roman"/>
          <w:kern w:val="0"/>
          <w:sz w:val="24"/>
          <w:szCs w:val="24"/>
        </w:rPr>
      </w:pPr>
    </w:p>
    <w:p>
      <w:pPr>
        <w:rPr>
          <w:rFonts w:eastAsia="仿宋" w:cs="Times New Roman"/>
          <w:kern w:val="0"/>
          <w:sz w:val="24"/>
          <w:szCs w:val="24"/>
        </w:rPr>
      </w:pPr>
      <w:r>
        <w:rPr>
          <w:rFonts w:cs="Times New Roman"/>
          <w:sz w:val="24"/>
          <w:szCs w:val="24"/>
        </w:rPr>
        <w:t>Note: this Statement neither guarantees any transaction with UIH, nor does it define the rights and obligations with UIH. The relevant rights and obligations shall be otherwise specified in the contract/agreement.</w:t>
      </w:r>
    </w:p>
    <w:p>
      <w:pPr>
        <w:jc w:val="center"/>
        <w:rPr>
          <w:rFonts w:eastAsia="仿宋" w:cs="Times New Roman"/>
          <w:sz w:val="24"/>
          <w:szCs w:val="24"/>
        </w:rPr>
      </w:pPr>
      <w:r>
        <w:rPr>
          <w:rFonts w:eastAsia="仿宋" w:cs="Times New Roman"/>
          <w:kern w:val="0"/>
          <w:sz w:val="24"/>
          <w:szCs w:val="24"/>
        </w:rPr>
        <w:br w:type="textWrapping"/>
      </w:r>
      <w:r>
        <w:rPr>
          <w:rFonts w:eastAsia="仿宋" w:cs="Times New Roman"/>
          <w:sz w:val="24"/>
          <w:szCs w:val="24"/>
        </w:rPr>
        <w:t>***</w:t>
      </w:r>
    </w:p>
    <w:tbl>
      <w:tblPr>
        <w:tblStyle w:val="8"/>
        <w:tblW w:w="4464" w:type="dxa"/>
        <w:tblInd w:w="0" w:type="dxa"/>
        <w:tblLayout w:type="fixed"/>
        <w:tblCellMar>
          <w:top w:w="0" w:type="dxa"/>
          <w:left w:w="108" w:type="dxa"/>
          <w:bottom w:w="0" w:type="dxa"/>
          <w:right w:w="108" w:type="dxa"/>
        </w:tblCellMar>
      </w:tblPr>
      <w:tblGrid>
        <w:gridCol w:w="4464"/>
      </w:tblGrid>
      <w:tr>
        <w:tblPrEx>
          <w:tblCellMar>
            <w:top w:w="0" w:type="dxa"/>
            <w:left w:w="108" w:type="dxa"/>
            <w:bottom w:w="0" w:type="dxa"/>
            <w:right w:w="108" w:type="dxa"/>
          </w:tblCellMar>
        </w:tblPrEx>
        <w:trPr>
          <w:trHeight w:val="2350" w:hRule="atLeast"/>
        </w:trPr>
        <w:tc>
          <w:tcPr>
            <w:tcW w:w="4464" w:type="dxa"/>
          </w:tcPr>
          <w:p>
            <w:pPr>
              <w:pStyle w:val="13"/>
              <w:jc w:val="both"/>
              <w:rPr>
                <w:rFonts w:ascii="Times New Roman" w:hAnsi="Times New Roman" w:eastAsia="仿宋" w:cs="Times New Roman"/>
              </w:rPr>
            </w:pPr>
          </w:p>
          <w:p>
            <w:pPr>
              <w:pStyle w:val="13"/>
              <w:pBdr>
                <w:bottom w:val="single" w:color="auto" w:sz="12" w:space="1"/>
              </w:pBdr>
              <w:jc w:val="both"/>
              <w:rPr>
                <w:rFonts w:ascii="Times New Roman" w:hAnsi="Times New Roman" w:eastAsia="仿宋" w:cs="Times New Roman"/>
              </w:rPr>
            </w:pPr>
          </w:p>
          <w:p>
            <w:pPr>
              <w:pStyle w:val="13"/>
              <w:pBdr>
                <w:bottom w:val="single" w:color="auto" w:sz="12" w:space="1"/>
              </w:pBdr>
              <w:jc w:val="both"/>
              <w:rPr>
                <w:rFonts w:ascii="Times New Roman" w:hAnsi="Times New Roman" w:eastAsia="仿宋" w:cs="Times New Roman"/>
              </w:rPr>
            </w:pPr>
          </w:p>
          <w:p>
            <w:pPr>
              <w:pStyle w:val="13"/>
              <w:pBdr>
                <w:bottom w:val="single" w:color="auto" w:sz="12" w:space="1"/>
              </w:pBdr>
              <w:jc w:val="both"/>
              <w:rPr>
                <w:rFonts w:ascii="Times New Roman" w:hAnsi="Times New Roman" w:eastAsia="仿宋" w:cs="Times New Roman"/>
              </w:rPr>
            </w:pPr>
          </w:p>
          <w:p>
            <w:pPr>
              <w:pStyle w:val="13"/>
              <w:jc w:val="both"/>
              <w:rPr>
                <w:rFonts w:ascii="Times New Roman" w:hAnsi="Times New Roman" w:cs="Times New Roman"/>
              </w:rPr>
            </w:pPr>
            <w:r>
              <w:rPr>
                <w:rFonts w:ascii="Times New Roman" w:hAnsi="Times New Roman" w:cs="Times New Roman"/>
              </w:rPr>
              <w:t>Authorized Signature or Company Stamp</w:t>
            </w:r>
          </w:p>
          <w:p>
            <w:pPr>
              <w:pStyle w:val="13"/>
              <w:pBdr>
                <w:bottom w:val="single" w:color="auto" w:sz="12" w:space="1"/>
              </w:pBdr>
              <w:jc w:val="both"/>
              <w:rPr>
                <w:rFonts w:ascii="Times New Roman" w:hAnsi="Times New Roman" w:eastAsia="仿宋" w:cs="Times New Roman"/>
              </w:rPr>
            </w:pPr>
          </w:p>
          <w:p>
            <w:pPr>
              <w:pStyle w:val="13"/>
              <w:pBdr>
                <w:bottom w:val="single" w:color="auto" w:sz="12" w:space="1"/>
              </w:pBdr>
              <w:jc w:val="both"/>
              <w:rPr>
                <w:rFonts w:ascii="Times New Roman" w:hAnsi="Times New Roman" w:eastAsia="仿宋" w:cs="Times New Roman"/>
              </w:rPr>
            </w:pPr>
          </w:p>
          <w:p>
            <w:pPr>
              <w:pStyle w:val="13"/>
              <w:jc w:val="both"/>
              <w:rPr>
                <w:rFonts w:ascii="Times New Roman" w:hAnsi="Times New Roman" w:eastAsia="仿宋" w:cs="Times New Roman"/>
              </w:rPr>
            </w:pPr>
            <w:r>
              <w:rPr>
                <w:rFonts w:ascii="Times New Roman" w:hAnsi="Times New Roman" w:cs="Times New Roman"/>
              </w:rPr>
              <w:t>Date</w:t>
            </w:r>
          </w:p>
        </w:tc>
      </w:tr>
    </w:tbl>
    <w:p>
      <w:pPr>
        <w:rPr>
          <w:rFonts w:eastAsia="仿宋" w:cs="Times New Roman"/>
          <w:sz w:val="24"/>
          <w:szCs w:val="24"/>
        </w:rPr>
      </w:pPr>
    </w:p>
    <w:p>
      <w:pPr>
        <w:rPr>
          <w:rFonts w:eastAsia="仿宋" w:cs="Times New Roman"/>
          <w:sz w:val="24"/>
          <w:szCs w:val="24"/>
        </w:rPr>
      </w:pPr>
    </w:p>
    <w:p>
      <w:pPr>
        <w:rPr>
          <w:rFonts w:eastAsia="仿宋" w:cs="Times New Roman"/>
          <w:sz w:val="24"/>
          <w:szCs w:val="24"/>
        </w:rPr>
      </w:pPr>
    </w:p>
    <w:p>
      <w:pPr>
        <w:pStyle w:val="2"/>
        <w:rPr>
          <w:rFonts w:eastAsia="仿宋" w:cs="Times New Roman"/>
          <w:sz w:val="24"/>
          <w:szCs w:val="24"/>
        </w:rPr>
      </w:pPr>
    </w:p>
    <w:p>
      <w:pPr>
        <w:rPr>
          <w:rFonts w:eastAsia="仿宋" w:cs="Times New Roman"/>
          <w:i/>
          <w:iCs/>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Yu Gothic 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7439726"/>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tabs>
        <w:tab w:val="left" w:pos="8640"/>
      </w:tabs>
      <w:ind w:right="-540"/>
      <w:jc w:val="left"/>
      <w:rPr>
        <w:rFonts w:hint="default" w:ascii="Times New Roman" w:hAnsi="Times New Roman"/>
      </w:rPr>
    </w:pPr>
    <w:r>
      <w:rPr>
        <w:rFonts w:hint="default" w:ascii="Times New Roman" w:hAnsi="Times New Roman"/>
      </w:rPr>
      <w:drawing>
        <wp:anchor distT="0" distB="0" distL="114300" distR="114300" simplePos="0" relativeHeight="251659264" behindDoc="0" locked="0" layoutInCell="1" allowOverlap="1">
          <wp:simplePos x="0" y="0"/>
          <wp:positionH relativeFrom="margin">
            <wp:posOffset>3521710</wp:posOffset>
          </wp:positionH>
          <wp:positionV relativeFrom="paragraph">
            <wp:posOffset>-117475</wp:posOffset>
          </wp:positionV>
          <wp:extent cx="1743075" cy="401955"/>
          <wp:effectExtent l="0" t="0" r="9525" b="0"/>
          <wp:wrapNone/>
          <wp:docPr id="1" name="图片 1" descr="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43075" cy="401955"/>
                  </a:xfrm>
                  <a:prstGeom prst="rect">
                    <a:avLst/>
                  </a:prstGeom>
                  <a:noFill/>
                  <a:ln>
                    <a:noFill/>
                  </a:ln>
                </pic:spPr>
              </pic:pic>
            </a:graphicData>
          </a:graphic>
        </wp:anchor>
      </w:drawing>
    </w:r>
    <w:r>
      <w:rPr>
        <w:rFonts w:hint="default" w:ascii="Times New Roman" w:hAnsi="Times New Roman"/>
      </w:rPr>
      <w:t>UIH HQ Legal &amp; Compliance V</w:t>
    </w:r>
    <w:r>
      <w:rPr>
        <w:rFonts w:hint="eastAsia" w:ascii="Times New Roman" w:hAnsi="Times New Roman" w:eastAsia="宋体"/>
        <w:lang w:val="en-US" w:eastAsia="zh-CN"/>
      </w:rPr>
      <w:t>6</w:t>
    </w:r>
    <w:r>
      <w:rPr>
        <w:rFonts w:hint="default" w:ascii="Times New Roman" w:hAnsi="Times New Roman"/>
      </w:rPr>
      <w:t xml:space="preserve"> 202</w:t>
    </w:r>
    <w:r>
      <w:rPr>
        <w:rFonts w:hint="eastAsia" w:ascii="Times New Roman" w:hAnsi="Times New Roman" w:eastAsia="宋体"/>
        <w:lang w:val="en-US" w:eastAsia="zh-CN"/>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F39D3"/>
    <w:multiLevelType w:val="multilevel"/>
    <w:tmpl w:val="4C4F39D3"/>
    <w:lvl w:ilvl="0" w:tentative="0">
      <w:start w:val="1"/>
      <w:numFmt w:val="decimal"/>
      <w:pStyle w:val="20"/>
      <w:lvlText w:val="%1."/>
      <w:lvlJc w:val="left"/>
      <w:pPr>
        <w:tabs>
          <w:tab w:val="left" w:pos="1440"/>
        </w:tabs>
        <w:ind w:left="0" w:firstLine="720"/>
      </w:pPr>
      <w:rPr>
        <w:rFonts w:hint="default"/>
        <w:color w:val="000000"/>
        <w:sz w:val="24"/>
        <w:szCs w:val="24"/>
      </w:rPr>
    </w:lvl>
    <w:lvl w:ilvl="1" w:tentative="0">
      <w:start w:val="1"/>
      <w:numFmt w:val="lowerLetter"/>
      <w:pStyle w:val="22"/>
      <w:lvlText w:val="(%2)"/>
      <w:lvlJc w:val="left"/>
      <w:pPr>
        <w:tabs>
          <w:tab w:val="left" w:pos="2160"/>
        </w:tabs>
        <w:ind w:left="720" w:firstLine="720"/>
      </w:pPr>
      <w:rPr>
        <w:rFonts w:hint="default"/>
        <w:color w:val="000000"/>
      </w:rPr>
    </w:lvl>
    <w:lvl w:ilvl="2" w:tentative="0">
      <w:start w:val="1"/>
      <w:numFmt w:val="lowerRoman"/>
      <w:pStyle w:val="23"/>
      <w:lvlText w:val="(%3)"/>
      <w:lvlJc w:val="left"/>
      <w:pPr>
        <w:tabs>
          <w:tab w:val="left" w:pos="2880"/>
        </w:tabs>
        <w:ind w:left="1440" w:firstLine="720"/>
      </w:pPr>
      <w:rPr>
        <w:rFonts w:hint="default"/>
        <w:color w:val="000000"/>
      </w:rPr>
    </w:lvl>
    <w:lvl w:ilvl="3" w:tentative="0">
      <w:start w:val="1"/>
      <w:numFmt w:val="upperLetter"/>
      <w:pStyle w:val="24"/>
      <w:lvlText w:val="(%4)"/>
      <w:lvlJc w:val="left"/>
      <w:pPr>
        <w:tabs>
          <w:tab w:val="left" w:pos="3600"/>
        </w:tabs>
        <w:ind w:left="2160" w:firstLine="720"/>
      </w:pPr>
      <w:rPr>
        <w:rFonts w:hint="default"/>
        <w:color w:val="000000"/>
      </w:rPr>
    </w:lvl>
    <w:lvl w:ilvl="4" w:tentative="0">
      <w:start w:val="1"/>
      <w:numFmt w:val="none"/>
      <w:lvlText w:val=""/>
      <w:lvlJc w:val="left"/>
      <w:pPr>
        <w:tabs>
          <w:tab w:val="left" w:pos="3600"/>
        </w:tabs>
        <w:ind w:left="4320" w:hanging="720"/>
      </w:pPr>
      <w:rPr>
        <w:rFonts w:hint="default"/>
        <w:color w:val="000000"/>
      </w:rPr>
    </w:lvl>
    <w:lvl w:ilvl="5" w:tentative="0">
      <w:start w:val="1"/>
      <w:numFmt w:val="none"/>
      <w:lvlText w:val=""/>
      <w:lvlJc w:val="left"/>
      <w:pPr>
        <w:tabs>
          <w:tab w:val="left" w:pos="4320"/>
        </w:tabs>
        <w:ind w:left="5040" w:hanging="720"/>
      </w:pPr>
      <w:rPr>
        <w:rFonts w:hint="default"/>
      </w:rPr>
    </w:lvl>
    <w:lvl w:ilvl="6" w:tentative="0">
      <w:start w:val="1"/>
      <w:numFmt w:val="none"/>
      <w:lvlText w:val=""/>
      <w:lvlJc w:val="left"/>
      <w:pPr>
        <w:tabs>
          <w:tab w:val="left" w:pos="5040"/>
        </w:tabs>
        <w:ind w:left="5760" w:hanging="720"/>
      </w:pPr>
      <w:rPr>
        <w:rFonts w:hint="default"/>
      </w:rPr>
    </w:lvl>
    <w:lvl w:ilvl="7" w:tentative="0">
      <w:start w:val="1"/>
      <w:numFmt w:val="none"/>
      <w:lvlText w:val=""/>
      <w:lvlJc w:val="left"/>
      <w:pPr>
        <w:tabs>
          <w:tab w:val="left" w:pos="5760"/>
        </w:tabs>
        <w:ind w:left="6480" w:hanging="720"/>
      </w:pPr>
      <w:rPr>
        <w:rFonts w:hint="default"/>
      </w:rPr>
    </w:lvl>
    <w:lvl w:ilvl="8" w:tentative="0">
      <w:start w:val="1"/>
      <w:numFmt w:val="none"/>
      <w:lvlText w:val=""/>
      <w:lvlJc w:val="left"/>
      <w:pPr>
        <w:tabs>
          <w:tab w:val="left" w:pos="6480"/>
        </w:tabs>
        <w:ind w:left="720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89"/>
    <w:rsid w:val="00001E53"/>
    <w:rsid w:val="000321E1"/>
    <w:rsid w:val="00037E6F"/>
    <w:rsid w:val="00053D74"/>
    <w:rsid w:val="0005587E"/>
    <w:rsid w:val="000A501E"/>
    <w:rsid w:val="000B443C"/>
    <w:rsid w:val="000C4F05"/>
    <w:rsid w:val="000D104E"/>
    <w:rsid w:val="00110C5F"/>
    <w:rsid w:val="00205198"/>
    <w:rsid w:val="002132A1"/>
    <w:rsid w:val="00237567"/>
    <w:rsid w:val="00263497"/>
    <w:rsid w:val="002705B6"/>
    <w:rsid w:val="00282108"/>
    <w:rsid w:val="002D2F0E"/>
    <w:rsid w:val="00327AC7"/>
    <w:rsid w:val="00336965"/>
    <w:rsid w:val="00351C19"/>
    <w:rsid w:val="00361615"/>
    <w:rsid w:val="00364EB6"/>
    <w:rsid w:val="003727BA"/>
    <w:rsid w:val="003B72A0"/>
    <w:rsid w:val="003D40F9"/>
    <w:rsid w:val="0042223B"/>
    <w:rsid w:val="00424709"/>
    <w:rsid w:val="0048320E"/>
    <w:rsid w:val="004C4C2A"/>
    <w:rsid w:val="004E31EC"/>
    <w:rsid w:val="004F572F"/>
    <w:rsid w:val="005109F0"/>
    <w:rsid w:val="00520C5C"/>
    <w:rsid w:val="00554DA7"/>
    <w:rsid w:val="00562BF3"/>
    <w:rsid w:val="005747F7"/>
    <w:rsid w:val="005E1507"/>
    <w:rsid w:val="0060387E"/>
    <w:rsid w:val="00634F5C"/>
    <w:rsid w:val="00643412"/>
    <w:rsid w:val="00647909"/>
    <w:rsid w:val="00653B37"/>
    <w:rsid w:val="00680415"/>
    <w:rsid w:val="006D4088"/>
    <w:rsid w:val="006E5FBF"/>
    <w:rsid w:val="00721B96"/>
    <w:rsid w:val="00734EBB"/>
    <w:rsid w:val="0078379A"/>
    <w:rsid w:val="00797834"/>
    <w:rsid w:val="007B2A92"/>
    <w:rsid w:val="007B6E50"/>
    <w:rsid w:val="007F750D"/>
    <w:rsid w:val="008036A7"/>
    <w:rsid w:val="0082207C"/>
    <w:rsid w:val="008237C1"/>
    <w:rsid w:val="00885889"/>
    <w:rsid w:val="008A7700"/>
    <w:rsid w:val="008B324B"/>
    <w:rsid w:val="008E4312"/>
    <w:rsid w:val="00901BA5"/>
    <w:rsid w:val="00907520"/>
    <w:rsid w:val="0091581C"/>
    <w:rsid w:val="009251D6"/>
    <w:rsid w:val="009439BB"/>
    <w:rsid w:val="009C1327"/>
    <w:rsid w:val="00A13C04"/>
    <w:rsid w:val="00A31593"/>
    <w:rsid w:val="00A82E0B"/>
    <w:rsid w:val="00AA56E3"/>
    <w:rsid w:val="00AC65CB"/>
    <w:rsid w:val="00AE2BAD"/>
    <w:rsid w:val="00AE4B70"/>
    <w:rsid w:val="00AE73CB"/>
    <w:rsid w:val="00AF4813"/>
    <w:rsid w:val="00B11D37"/>
    <w:rsid w:val="00B13BB4"/>
    <w:rsid w:val="00B23463"/>
    <w:rsid w:val="00B31E9F"/>
    <w:rsid w:val="00B33C31"/>
    <w:rsid w:val="00B95B5F"/>
    <w:rsid w:val="00BD43FE"/>
    <w:rsid w:val="00C3284B"/>
    <w:rsid w:val="00C7261A"/>
    <w:rsid w:val="00C92822"/>
    <w:rsid w:val="00C94F09"/>
    <w:rsid w:val="00CA7591"/>
    <w:rsid w:val="00CC3C56"/>
    <w:rsid w:val="00CD659A"/>
    <w:rsid w:val="00CF20DF"/>
    <w:rsid w:val="00D21B90"/>
    <w:rsid w:val="00D52344"/>
    <w:rsid w:val="00D62599"/>
    <w:rsid w:val="00D82EC9"/>
    <w:rsid w:val="00DC0ED7"/>
    <w:rsid w:val="00DF616F"/>
    <w:rsid w:val="00DF70CF"/>
    <w:rsid w:val="00E224AD"/>
    <w:rsid w:val="00E23895"/>
    <w:rsid w:val="00E6236B"/>
    <w:rsid w:val="00E72C01"/>
    <w:rsid w:val="00E94B93"/>
    <w:rsid w:val="00EA28C1"/>
    <w:rsid w:val="00EC0BA5"/>
    <w:rsid w:val="00EE2BDF"/>
    <w:rsid w:val="00F05334"/>
    <w:rsid w:val="00F06252"/>
    <w:rsid w:val="00F21497"/>
    <w:rsid w:val="00F308B3"/>
    <w:rsid w:val="00F84B2E"/>
    <w:rsid w:val="00FA0E5A"/>
    <w:rsid w:val="00FE02ED"/>
    <w:rsid w:val="03664CE0"/>
    <w:rsid w:val="0D444E5B"/>
    <w:rsid w:val="13E9668E"/>
    <w:rsid w:val="220033D6"/>
    <w:rsid w:val="25F2731F"/>
    <w:rsid w:val="28ED5D5B"/>
    <w:rsid w:val="2BB00A4F"/>
    <w:rsid w:val="2E824DE2"/>
    <w:rsid w:val="3B3A2793"/>
    <w:rsid w:val="3DA249BE"/>
    <w:rsid w:val="3DF935E4"/>
    <w:rsid w:val="58A43E17"/>
    <w:rsid w:val="5A6F2246"/>
    <w:rsid w:val="60FF7D97"/>
    <w:rsid w:val="62175567"/>
    <w:rsid w:val="62ED68DD"/>
    <w:rsid w:val="64BE1A32"/>
    <w:rsid w:val="65D44587"/>
    <w:rsid w:val="6BAC623C"/>
    <w:rsid w:val="7AEE0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Calibr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envelope return"/>
    <w:basedOn w:val="1"/>
    <w:unhideWhenUsed/>
    <w:qFormat/>
    <w:uiPriority w:val="99"/>
    <w:rPr>
      <w:rFonts w:hint="eastAsia" w:ascii="宋体" w:hAnsi="Arial" w:eastAsia="MS Mincho;Yu Gothic UI" w:cs="Times New Roman"/>
      <w:szCs w:val="20"/>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semiHidden/>
    <w:unhideWhenUsed/>
    <w:qFormat/>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paragraph" w:customStyle="1" w:styleId="13">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14">
    <w:name w:val="批注文字 字符"/>
    <w:basedOn w:val="10"/>
    <w:link w:val="2"/>
    <w:semiHidden/>
    <w:qFormat/>
    <w:uiPriority w:val="99"/>
  </w:style>
  <w:style w:type="character" w:customStyle="1" w:styleId="15">
    <w:name w:val="批注主题 字符"/>
    <w:basedOn w:val="14"/>
    <w:link w:val="7"/>
    <w:semiHidden/>
    <w:qFormat/>
    <w:uiPriority w:val="99"/>
    <w:rPr>
      <w:b/>
      <w:bCs/>
    </w:rPr>
  </w:style>
  <w:style w:type="character" w:customStyle="1" w:styleId="16">
    <w:name w:val="批注框文本 字符"/>
    <w:basedOn w:val="10"/>
    <w:link w:val="3"/>
    <w:semiHidden/>
    <w:qFormat/>
    <w:uiPriority w:val="99"/>
    <w:rPr>
      <w:sz w:val="18"/>
      <w:szCs w:val="18"/>
    </w:rPr>
  </w:style>
  <w:style w:type="character" w:customStyle="1" w:styleId="17">
    <w:name w:val="页眉 字符"/>
    <w:basedOn w:val="10"/>
    <w:link w:val="6"/>
    <w:qFormat/>
    <w:uiPriority w:val="99"/>
    <w:rPr>
      <w:sz w:val="18"/>
      <w:szCs w:val="18"/>
    </w:rPr>
  </w:style>
  <w:style w:type="character" w:customStyle="1" w:styleId="18">
    <w:name w:val="页脚 字符"/>
    <w:basedOn w:val="10"/>
    <w:link w:val="4"/>
    <w:qFormat/>
    <w:uiPriority w:val="99"/>
    <w:rPr>
      <w:sz w:val="18"/>
      <w:szCs w:val="18"/>
    </w:rPr>
  </w:style>
  <w:style w:type="character" w:customStyle="1" w:styleId="19">
    <w:name w:val="SF Para - Clause Char"/>
    <w:basedOn w:val="10"/>
    <w:link w:val="20"/>
    <w:uiPriority w:val="0"/>
    <w:rPr>
      <w:color w:val="000000"/>
    </w:rPr>
  </w:style>
  <w:style w:type="paragraph" w:customStyle="1" w:styleId="20">
    <w:name w:val="SF Para - Clause"/>
    <w:link w:val="19"/>
    <w:qFormat/>
    <w:uiPriority w:val="0"/>
    <w:pPr>
      <w:numPr>
        <w:ilvl w:val="0"/>
        <w:numId w:val="1"/>
      </w:numPr>
      <w:spacing w:before="240" w:after="240"/>
      <w:outlineLvl w:val="0"/>
    </w:pPr>
    <w:rPr>
      <w:rFonts w:ascii="Times New Roman" w:hAnsi="Times New Roman" w:eastAsia="宋体" w:cs="Times New Roman"/>
      <w:color w:val="000000"/>
      <w:lang w:val="en-US" w:eastAsia="zh-CN" w:bidi="ar-SA"/>
    </w:rPr>
  </w:style>
  <w:style w:type="character" w:customStyle="1" w:styleId="21">
    <w:name w:val="Title - Clause"/>
    <w:basedOn w:val="10"/>
    <w:uiPriority w:val="1"/>
    <w:rPr>
      <w:rFonts w:ascii="Times New Roman" w:hAnsi="Times New Roman" w:cs="Times New Roman"/>
      <w:color w:val="000000"/>
      <w:sz w:val="24"/>
      <w:u w:val="single"/>
      <w:vertAlign w:val="baseline"/>
    </w:rPr>
  </w:style>
  <w:style w:type="paragraph" w:customStyle="1" w:styleId="22">
    <w:name w:val="SF Para subclause 1"/>
    <w:qFormat/>
    <w:uiPriority w:val="0"/>
    <w:pPr>
      <w:numPr>
        <w:ilvl w:val="1"/>
        <w:numId w:val="1"/>
      </w:numPr>
      <w:spacing w:before="120" w:after="240"/>
      <w:outlineLvl w:val="1"/>
    </w:pPr>
    <w:rPr>
      <w:rFonts w:ascii="Times New Roman" w:hAnsi="Times New Roman" w:cs="Times New Roman" w:eastAsiaTheme="minorEastAsia"/>
      <w:color w:val="000000"/>
      <w:sz w:val="24"/>
      <w:szCs w:val="24"/>
      <w:lang w:val="en-US" w:eastAsia="zh-CN" w:bidi="ar-SA"/>
    </w:rPr>
  </w:style>
  <w:style w:type="paragraph" w:customStyle="1" w:styleId="23">
    <w:name w:val="SF Para subclause 2"/>
    <w:qFormat/>
    <w:uiPriority w:val="0"/>
    <w:pPr>
      <w:numPr>
        <w:ilvl w:val="2"/>
        <w:numId w:val="1"/>
      </w:numPr>
      <w:spacing w:before="120" w:after="240"/>
      <w:outlineLvl w:val="2"/>
    </w:pPr>
    <w:rPr>
      <w:rFonts w:ascii="Times New Roman" w:hAnsi="Times New Roman" w:cs="Times New Roman" w:eastAsiaTheme="minorEastAsia"/>
      <w:color w:val="000000"/>
      <w:sz w:val="24"/>
      <w:szCs w:val="24"/>
      <w:lang w:val="en-US" w:eastAsia="zh-CN" w:bidi="ar-SA"/>
    </w:rPr>
  </w:style>
  <w:style w:type="paragraph" w:customStyle="1" w:styleId="24">
    <w:name w:val="SF Para subclause 3"/>
    <w:qFormat/>
    <w:uiPriority w:val="0"/>
    <w:pPr>
      <w:numPr>
        <w:ilvl w:val="3"/>
        <w:numId w:val="1"/>
      </w:numPr>
      <w:spacing w:before="120" w:after="240"/>
      <w:outlineLvl w:val="3"/>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933</Words>
  <Characters>5322</Characters>
  <Lines>44</Lines>
  <Paragraphs>12</Paragraphs>
  <TotalTime>24</TotalTime>
  <ScaleCrop>false</ScaleCrop>
  <LinksUpToDate>false</LinksUpToDate>
  <CharactersWithSpaces>6243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2021-11-30T02:57:00Z</dcterms:created>
  <dc:creator>shuting.duan_HQ-Legal</dc:creator>
  <cp:lastModifiedBy>UIH Legal</cp:lastModifiedBy>
  <dcterms:modified xsi:type="dcterms:W3CDTF">2022-01-11T01:29:09Z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59993660E94149DB8C480F15C26F1D90</vt:lpwstr>
  </property>
</Properties>
</file>